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BC0FF0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57150</wp:posOffset>
            </wp:positionH>
            <wp:positionV relativeFrom="paragraph">
              <wp:posOffset>342900</wp:posOffset>
            </wp:positionV>
            <wp:extent cx="633095" cy="628650"/>
            <wp:effectExtent l="0" t="0" r="0" b="0"/>
            <wp:wrapSquare wrapText="bothSides"/>
            <wp:docPr id="1" name="图片 1" descr="C:\Users\PC\Documents\WeChat Files\wxid_ew6mtrsl84lw22\FileStorage\Temp\167667958581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\Users\PC\Documents\WeChat Files\wxid_ew6mtrsl84lw22\FileStorage\Temp\1676679585811.png"/>
                    <pic:cNvPicPr/>
                  </pic:nvPicPr>
                  <pic:blipFill>
                    <a:blip r:embed="rId4" cstate="print">
                      <a:clrChange>
                        <a:clrFrom>
                          <a:srgbClr val="F9F9F7"/>
                        </a:clrFrom>
                        <a:clrTo>
                          <a:srgbClr val="F9F9F7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33095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4BC4D78">
      <w:pPr>
        <w:rPr>
          <w:b/>
          <w:bCs/>
          <w:sz w:val="32"/>
          <w:szCs w:val="32"/>
        </w:rPr>
      </w:pPr>
      <w:bookmarkStart w:id="0" w:name="_GoBack"/>
      <w:r>
        <w:rPr>
          <w:rFonts w:hint="eastAsia"/>
          <w:b/>
          <w:bCs/>
          <w:sz w:val="32"/>
          <w:szCs w:val="32"/>
        </w:rPr>
        <w:t>华樾精细化工（昆山）有限公司</w:t>
      </w:r>
    </w:p>
    <w:p w14:paraId="06F4C1EC">
      <w:pPr>
        <w:rPr>
          <w:rFonts w:hint="default" w:eastAsiaTheme="minorEastAsia"/>
          <w:b/>
          <w:bCs/>
          <w:sz w:val="24"/>
          <w:szCs w:val="24"/>
          <w:lang w:val="en-US" w:eastAsia="zh-CN"/>
        </w:rPr>
      </w:pPr>
      <w:r>
        <w:rPr/>
        <w:br w:type="textWrapping" w:clear="all"/>
      </w:r>
      <w:r>
        <w:rPr>
          <w:rFonts w:hint="eastAsia"/>
          <w:b/>
          <w:bCs/>
          <w:sz w:val="24"/>
          <w:szCs w:val="24"/>
          <w:lang w:val="en-US" w:eastAsia="zh-CN"/>
        </w:rPr>
        <w:t>展着</w:t>
      </w:r>
      <w:r>
        <w:rPr>
          <w:rFonts w:hint="eastAsia"/>
          <w:b/>
          <w:bCs/>
          <w:sz w:val="24"/>
          <w:szCs w:val="24"/>
        </w:rPr>
        <w:t>剂</w:t>
      </w:r>
      <w:r>
        <w:rPr>
          <w:rFonts w:hint="eastAsia"/>
          <w:b/>
          <w:bCs/>
          <w:sz w:val="24"/>
          <w:szCs w:val="24"/>
          <w:lang w:val="en-US" w:eastAsia="zh-CN"/>
        </w:rPr>
        <w:t>330</w:t>
      </w:r>
    </w:p>
    <w:p w14:paraId="2EC9597D">
      <w:pPr>
        <w:ind w:firstLine="422" w:firstLineChars="200"/>
        <w:rPr>
          <w:rFonts w:hint="eastAsia" w:ascii="Arial" w:hAnsi="Arial" w:eastAsia="宋体" w:cs="Arial"/>
          <w:b/>
          <w:bCs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eastAsia="zh-CN"/>
        </w:rPr>
      </w:pPr>
      <w:r>
        <w:rPr>
          <w:rFonts w:ascii="Arial" w:hAnsi="Arial" w:eastAsia="宋体" w:cs="Arial"/>
          <w:b/>
          <w:bCs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展着剂</w:t>
      </w:r>
      <w:r>
        <w:rPr>
          <w:rFonts w:hint="eastAsia" w:ascii="Arial" w:hAnsi="Arial" w:eastAsia="宋体" w:cs="Arial"/>
          <w:b/>
          <w:bCs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330</w:t>
      </w:r>
      <w:r>
        <w:rPr>
          <w:rFonts w:ascii="Arial" w:hAnsi="Arial" w:eastAsia="宋体" w:cs="Arial"/>
          <w:b/>
          <w:bCs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是通过提高喷洒药</w:t>
      </w:r>
      <w:r>
        <w:rPr>
          <w:rFonts w:hint="default" w:ascii="Arial" w:hAnsi="Arial" w:eastAsia="宋体" w:cs="Arial"/>
          <w:b/>
          <w:bCs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液在植物茎叶</w:t>
      </w:r>
      <w:r>
        <w:rPr>
          <w:rFonts w:hint="eastAsia" w:ascii="Arial" w:hAnsi="Arial" w:eastAsia="宋体" w:cs="Arial"/>
          <w:b/>
          <w:bCs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eastAsia="zh-CN"/>
        </w:rPr>
        <w:t>、</w:t>
      </w:r>
      <w:r>
        <w:rPr>
          <w:rFonts w:hint="default" w:ascii="Arial" w:hAnsi="Arial" w:eastAsia="宋体" w:cs="Arial"/>
          <w:b/>
          <w:bCs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害虫</w:t>
      </w:r>
      <w:r>
        <w:rPr>
          <w:rFonts w:hint="eastAsia" w:ascii="Arial" w:hAnsi="Arial" w:eastAsia="宋体" w:cs="Arial"/>
          <w:b/>
          <w:bCs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和</w:t>
      </w:r>
      <w:r>
        <w:rPr>
          <w:rFonts w:hint="default" w:ascii="Arial" w:hAnsi="Arial" w:eastAsia="宋体" w:cs="Arial"/>
          <w:b/>
          <w:bCs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病原菌体</w:t>
      </w:r>
      <w:r>
        <w:rPr>
          <w:rFonts w:hint="eastAsia" w:ascii="Arial" w:hAnsi="Arial" w:eastAsia="宋体" w:cs="Arial"/>
          <w:b/>
          <w:bCs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的</w:t>
      </w:r>
      <w:r>
        <w:rPr>
          <w:rFonts w:hint="default" w:ascii="Arial" w:hAnsi="Arial" w:eastAsia="宋体" w:cs="Arial"/>
          <w:b/>
          <w:bCs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表</w:t>
      </w:r>
      <w:r>
        <w:rPr>
          <w:rFonts w:hint="eastAsia" w:ascii="Arial" w:hAnsi="Arial" w:eastAsia="宋体" w:cs="Arial"/>
          <w:b/>
          <w:bCs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面</w:t>
      </w:r>
      <w:r>
        <w:rPr>
          <w:rFonts w:hint="default" w:ascii="Arial" w:hAnsi="Arial" w:eastAsia="宋体" w:cs="Arial"/>
          <w:b/>
          <w:bCs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湿润和展开能力，从而充分发挥药效的助剂。茎叶和昆虫体表有蜡质层，水</w:t>
      </w:r>
      <w:r>
        <w:rPr>
          <w:rFonts w:hint="eastAsia" w:ascii="Arial" w:hAnsi="Arial" w:eastAsia="宋体" w:cs="Arial"/>
          <w:b/>
          <w:bCs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和药液</w:t>
      </w:r>
      <w:r>
        <w:rPr>
          <w:rFonts w:hint="default" w:ascii="Arial" w:hAnsi="Arial" w:eastAsia="宋体" w:cs="Arial"/>
          <w:b/>
          <w:bCs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难以湿润和展着</w:t>
      </w:r>
      <w:r>
        <w:rPr>
          <w:rFonts w:hint="eastAsia" w:ascii="Arial" w:hAnsi="Arial" w:eastAsia="宋体" w:cs="Arial"/>
          <w:b/>
          <w:bCs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在叶面</w:t>
      </w:r>
      <w:r>
        <w:rPr>
          <w:rFonts w:hint="default" w:ascii="Arial" w:hAnsi="Arial" w:eastAsia="宋体" w:cs="Arial"/>
          <w:b/>
          <w:bCs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。</w:t>
      </w:r>
      <w:r>
        <w:rPr>
          <w:rFonts w:ascii="Arial" w:hAnsi="Arial" w:eastAsia="宋体" w:cs="Arial"/>
          <w:b/>
          <w:bCs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展着剂</w:t>
      </w:r>
      <w:r>
        <w:rPr>
          <w:rFonts w:hint="eastAsia" w:ascii="Arial" w:hAnsi="Arial" w:eastAsia="宋体" w:cs="Arial"/>
          <w:b/>
          <w:bCs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330</w:t>
      </w:r>
      <w:r>
        <w:rPr>
          <w:rFonts w:hint="default" w:ascii="Arial" w:hAnsi="Arial" w:eastAsia="宋体" w:cs="Arial"/>
          <w:b/>
          <w:bCs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可降低水的表面张力，增加水溶液或</w:t>
      </w:r>
      <w:r>
        <w:rPr>
          <w:rFonts w:hint="eastAsia" w:ascii="Arial" w:hAnsi="Arial" w:eastAsia="宋体" w:cs="Arial"/>
          <w:b/>
          <w:bCs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药</w:t>
      </w:r>
      <w:r>
        <w:rPr>
          <w:rFonts w:hint="default" w:ascii="Arial" w:hAnsi="Arial" w:eastAsia="宋体" w:cs="Arial"/>
          <w:b/>
          <w:bCs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液在茎叶和虫体表面的湿展能力</w:t>
      </w:r>
      <w:r>
        <w:rPr>
          <w:rFonts w:hint="eastAsia" w:ascii="Arial" w:hAnsi="Arial" w:eastAsia="宋体" w:cs="Arial"/>
          <w:b/>
          <w:bCs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eastAsia="zh-CN"/>
        </w:rPr>
        <w:t>。</w:t>
      </w:r>
    </w:p>
    <w:p w14:paraId="677252AF">
      <w:pPr>
        <w:ind w:firstLine="422" w:firstLineChars="200"/>
        <w:rPr>
          <w:rFonts w:hint="eastAsia" w:ascii="Arial" w:hAnsi="Arial" w:eastAsia="宋体" w:cs="Arial"/>
          <w:b/>
          <w:bCs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eastAsia="zh-CN"/>
        </w:rPr>
      </w:pPr>
    </w:p>
    <w:p w14:paraId="48548149">
      <w:pPr>
        <w:rPr>
          <w:rFonts w:hint="eastAsia" w:asciiTheme="minorEastAsia" w:hAnsiTheme="minorEastAsia" w:eastAsiaTheme="minorEastAsia" w:cstheme="minorEastAsia"/>
          <w:b/>
          <w:bCs/>
        </w:rPr>
      </w:pPr>
      <w:r>
        <w:rPr>
          <w:rFonts w:hint="eastAsia" w:asciiTheme="minorEastAsia" w:hAnsiTheme="minorEastAsia" w:eastAsiaTheme="minorEastAsia" w:cstheme="minorEastAsia"/>
          <w:b/>
          <w:bCs/>
        </w:rPr>
        <w:t>特点：</w:t>
      </w:r>
    </w:p>
    <w:p w14:paraId="5ED8115F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225"/>
        <w:jc w:val="left"/>
        <w:rPr>
          <w:rFonts w:hint="eastAsia" w:asciiTheme="minorEastAsia" w:hAnsiTheme="minorEastAsia" w:eastAsiaTheme="minorEastAsia" w:cstheme="minorEastAsia"/>
          <w:b/>
          <w:bCs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/>
          <w:bCs/>
          <w:i w:val="0"/>
          <w:iCs w:val="0"/>
          <w:caps w:val="0"/>
          <w:color w:val="333333"/>
          <w:spacing w:val="0"/>
          <w:sz w:val="21"/>
          <w:szCs w:val="21"/>
        </w:rPr>
        <w:t>1、对于腊质叶作物具有强力湿展，浸透性，悬垂性及固着性。</w:t>
      </w:r>
    </w:p>
    <w:p w14:paraId="103F7206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225"/>
        <w:jc w:val="left"/>
        <w:rPr>
          <w:rFonts w:hint="eastAsia" w:asciiTheme="minorEastAsia" w:hAnsiTheme="minorEastAsia" w:eastAsiaTheme="minorEastAsia" w:cstheme="minorEastAsia"/>
          <w:b/>
          <w:bCs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/>
          <w:bCs/>
          <w:i w:val="0"/>
          <w:iCs w:val="0"/>
          <w:caps w:val="0"/>
          <w:color w:val="333333"/>
          <w:spacing w:val="0"/>
          <w:sz w:val="21"/>
          <w:szCs w:val="21"/>
        </w:rPr>
        <w:t>2、用于农药增效，在使用后如遇雨可以有效增强药效。</w:t>
      </w:r>
    </w:p>
    <w:p w14:paraId="4CCA1375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225"/>
        <w:jc w:val="left"/>
        <w:rPr>
          <w:rFonts w:hint="eastAsia" w:asciiTheme="minorEastAsia" w:hAnsiTheme="minorEastAsia" w:eastAsiaTheme="minorEastAsia" w:cstheme="minorEastAsia"/>
          <w:b/>
          <w:bCs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/>
          <w:bCs/>
          <w:i w:val="0"/>
          <w:iCs w:val="0"/>
          <w:caps w:val="0"/>
          <w:color w:val="333333"/>
          <w:spacing w:val="0"/>
          <w:sz w:val="21"/>
          <w:szCs w:val="21"/>
        </w:rPr>
        <w:t>3、本品有乳化、悬垂、渗透、湿展、附着的作用。</w:t>
      </w:r>
    </w:p>
    <w:p w14:paraId="7BAEF19D">
      <w:pPr>
        <w:rPr>
          <w:b/>
          <w:bCs/>
        </w:rPr>
      </w:pPr>
      <w:r>
        <w:rPr>
          <w:rFonts w:hint="eastAsia"/>
          <w:b/>
          <w:bCs/>
        </w:rPr>
        <w:t>产品信息：</w:t>
      </w:r>
    </w:p>
    <w:p w14:paraId="27222B7A">
      <w:pPr>
        <w:rPr>
          <w:b/>
          <w:bCs/>
        </w:rPr>
      </w:pPr>
      <w:r>
        <w:rPr>
          <w:rFonts w:hint="eastAsia"/>
          <w:b/>
          <w:bCs/>
        </w:rPr>
        <w:t xml:space="preserve"> </w:t>
      </w:r>
      <w:r>
        <w:rPr>
          <w:b/>
          <w:bCs/>
        </w:rPr>
        <w:t xml:space="preserve"> </w:t>
      </w:r>
      <w:r>
        <w:rPr>
          <w:rFonts w:hint="eastAsia"/>
          <w:b/>
          <w:bCs/>
        </w:rPr>
        <w:t>化学组成：</w:t>
      </w:r>
    </w:p>
    <w:p w14:paraId="7F26C8CA">
      <w:pPr>
        <w:ind w:firstLine="422" w:firstLineChars="200"/>
        <w:rPr>
          <w:rFonts w:hint="default" w:eastAsiaTheme="minorEastAsia"/>
          <w:b/>
          <w:bCs/>
          <w:color w:val="FF0000"/>
          <w:lang w:val="en-US" w:eastAsia="zh-CN"/>
        </w:rPr>
      </w:pPr>
      <w:r>
        <w:rPr>
          <w:rFonts w:hint="eastAsia"/>
          <w:b/>
          <w:bCs/>
          <w:color w:val="FF0000"/>
          <w:lang w:val="en-US" w:eastAsia="zh-CN"/>
        </w:rPr>
        <w:t>聚醚改性有机硅聚合物</w:t>
      </w:r>
    </w:p>
    <w:p w14:paraId="4E185AC6">
      <w:pPr>
        <w:rPr>
          <w:b/>
          <w:bCs/>
        </w:rPr>
      </w:pPr>
      <w:r>
        <w:rPr>
          <w:rFonts w:hint="eastAsia"/>
          <w:b/>
          <w:bCs/>
        </w:rPr>
        <w:t xml:space="preserve"> </w:t>
      </w:r>
      <w:r>
        <w:rPr>
          <w:b/>
          <w:bCs/>
        </w:rPr>
        <w:t xml:space="preserve"> </w:t>
      </w:r>
      <w:r>
        <w:rPr>
          <w:rFonts w:hint="eastAsia"/>
          <w:b/>
          <w:bCs/>
        </w:rPr>
        <w:t>物化数据表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65"/>
        <w:gridCol w:w="2765"/>
      </w:tblGrid>
      <w:tr w14:paraId="0E011C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</w:tcPr>
          <w:p w14:paraId="6BFC1178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外观</w:t>
            </w:r>
          </w:p>
        </w:tc>
        <w:tc>
          <w:tcPr>
            <w:tcW w:w="2765" w:type="dxa"/>
          </w:tcPr>
          <w:p w14:paraId="503DF852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无色或</w:t>
            </w:r>
            <w:r>
              <w:rPr>
                <w:rFonts w:hint="eastAsia"/>
                <w:b/>
                <w:bCs/>
              </w:rPr>
              <w:t>黄色透明液体</w:t>
            </w:r>
          </w:p>
        </w:tc>
      </w:tr>
      <w:tr w14:paraId="0396CA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</w:tcPr>
          <w:p w14:paraId="1D98F06F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有效活性成份</w:t>
            </w:r>
          </w:p>
        </w:tc>
        <w:tc>
          <w:tcPr>
            <w:tcW w:w="2765" w:type="dxa"/>
          </w:tcPr>
          <w:p w14:paraId="6C13C984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95</w:t>
            </w:r>
            <w:r>
              <w:rPr>
                <w:b/>
                <w:bCs/>
              </w:rPr>
              <w:t>%</w:t>
            </w:r>
          </w:p>
        </w:tc>
      </w:tr>
      <w:tr w14:paraId="44FB27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</w:tcPr>
          <w:p w14:paraId="4533435F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PH值</w:t>
            </w:r>
          </w:p>
        </w:tc>
        <w:tc>
          <w:tcPr>
            <w:tcW w:w="2765" w:type="dxa"/>
          </w:tcPr>
          <w:p w14:paraId="4EBB9B06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6</w:t>
            </w:r>
            <w:r>
              <w:rPr>
                <w:b/>
                <w:bCs/>
              </w:rPr>
              <w:t>-8</w:t>
            </w:r>
          </w:p>
        </w:tc>
      </w:tr>
      <w:tr w14:paraId="5EE81E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</w:tcPr>
          <w:p w14:paraId="2EB4A678">
            <w:pPr>
              <w:rPr>
                <w:rFonts w:hint="default" w:eastAsiaTheme="minorEastAsia"/>
                <w:b/>
                <w:bCs/>
                <w:lang w:val="en-US"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分子量</w:t>
            </w:r>
          </w:p>
        </w:tc>
        <w:tc>
          <w:tcPr>
            <w:tcW w:w="2765" w:type="dxa"/>
          </w:tcPr>
          <w:p w14:paraId="7BFC8005">
            <w:pPr>
              <w:rPr>
                <w:rFonts w:hint="default"/>
                <w:b/>
                <w:bCs/>
                <w:lang w:val="en-US"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600</w:t>
            </w:r>
          </w:p>
        </w:tc>
      </w:tr>
      <w:tr w14:paraId="189489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</w:tcPr>
          <w:p w14:paraId="295CBCF8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粘度</w:t>
            </w:r>
            <w:r>
              <w:rPr>
                <w:rFonts w:hint="eastAsia"/>
                <w:b/>
                <w:bCs/>
                <w:lang w:val="en-US" w:eastAsia="zh-CN"/>
              </w:rPr>
              <w:t xml:space="preserve">KU </w:t>
            </w:r>
            <w:r>
              <w:rPr>
                <w:b/>
                <w:bCs/>
              </w:rPr>
              <w:t>25</w:t>
            </w:r>
            <w:r>
              <w:rPr>
                <w:rFonts w:ascii="宋体" w:hAnsi="宋体" w:cs="宋体"/>
                <w:b/>
                <w:bCs/>
                <w:color w:val="272727"/>
                <w:kern w:val="0"/>
                <w:sz w:val="20"/>
                <w:szCs w:val="20"/>
              </w:rPr>
              <w:t>℃</w:t>
            </w:r>
          </w:p>
        </w:tc>
        <w:tc>
          <w:tcPr>
            <w:tcW w:w="2765" w:type="dxa"/>
          </w:tcPr>
          <w:p w14:paraId="7DF3C6E9">
            <w:pPr>
              <w:rPr>
                <w:rFonts w:hint="default" w:eastAsiaTheme="minorEastAsia"/>
                <w:b/>
                <w:bCs/>
                <w:lang w:val="en-US"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50KU</w:t>
            </w:r>
          </w:p>
        </w:tc>
      </w:tr>
      <w:tr w14:paraId="25AC55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765" w:type="dxa"/>
          </w:tcPr>
          <w:p w14:paraId="5459909D">
            <w:pPr>
              <w:rPr>
                <w:rFonts w:hint="default" w:eastAsiaTheme="minorEastAsia"/>
                <w:b/>
                <w:bCs/>
                <w:lang w:val="en-US"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1%水溶液表面张力</w:t>
            </w:r>
          </w:p>
        </w:tc>
        <w:tc>
          <w:tcPr>
            <w:tcW w:w="2765" w:type="dxa"/>
            <w:shd w:val="clear"/>
            <w:vAlign w:val="top"/>
          </w:tcPr>
          <w:p w14:paraId="358C0102">
            <w:pPr>
              <w:rPr>
                <w:rFonts w:hint="eastAsia" w:ascii="Arial" w:hAnsi="Arial" w:cs="Arial" w:eastAsiaTheme="minorEastAsia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Calibri" w:hAnsi="Calibri" w:eastAsia="微软雅黑" w:cs="Calibri"/>
                <w:b/>
                <w:bCs/>
                <w:sz w:val="21"/>
                <w:szCs w:val="21"/>
                <w:lang w:val="en-US" w:eastAsia="zh-CN"/>
              </w:rPr>
              <w:t>&lt;</w:t>
            </w:r>
            <w:r>
              <w:rPr>
                <w:rFonts w:hint="eastAsia" w:ascii="Calibri" w:hAnsi="Calibri" w:eastAsia="微软雅黑" w:cs="Calibri"/>
                <w:b/>
                <w:bCs/>
                <w:sz w:val="21"/>
                <w:szCs w:val="21"/>
                <w:lang w:val="en-US" w:eastAsia="zh-CN"/>
              </w:rPr>
              <w:t>30</w:t>
            </w:r>
          </w:p>
        </w:tc>
      </w:tr>
      <w:tr w14:paraId="7CA4AC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</w:tcPr>
          <w:p w14:paraId="736F1009">
            <w:pPr>
              <w:rPr>
                <w:rFonts w:hint="default"/>
                <w:b/>
                <w:bCs/>
                <w:lang w:val="en-US"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HLB</w:t>
            </w:r>
          </w:p>
        </w:tc>
        <w:tc>
          <w:tcPr>
            <w:tcW w:w="2765" w:type="dxa"/>
            <w:shd w:val="clear"/>
            <w:vAlign w:val="top"/>
          </w:tcPr>
          <w:p w14:paraId="1A056653">
            <w:pPr>
              <w:rPr>
                <w:rFonts w:hint="eastAsia" w:ascii="Calibri" w:hAnsi="Calibri" w:eastAsia="微软雅黑" w:cs="Calibri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Calibri" w:hAnsi="Calibri" w:eastAsia="微软雅黑" w:cs="Calibri"/>
                <w:b/>
                <w:bCs/>
                <w:sz w:val="21"/>
                <w:szCs w:val="21"/>
                <w:lang w:val="en-US" w:eastAsia="zh-CN"/>
              </w:rPr>
              <w:t>9.5</w:t>
            </w:r>
          </w:p>
        </w:tc>
      </w:tr>
    </w:tbl>
    <w:p w14:paraId="77625761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right="0"/>
        <w:jc w:val="left"/>
        <w:rPr>
          <w:rFonts w:hint="eastAsia" w:asciiTheme="minorEastAsia" w:hAnsiTheme="minorEastAsia" w:eastAsiaTheme="minorEastAsia" w:cstheme="minorEastAsia"/>
          <w:b/>
          <w:bCs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/>
          <w:bCs/>
          <w:i w:val="0"/>
          <w:iCs w:val="0"/>
          <w:caps w:val="0"/>
          <w:color w:val="333333"/>
          <w:spacing w:val="0"/>
          <w:sz w:val="21"/>
          <w:szCs w:val="21"/>
        </w:rPr>
        <w:t>使用方法：</w:t>
      </w:r>
    </w:p>
    <w:p w14:paraId="69D0AD2D">
      <w:pPr>
        <w:ind w:firstLine="211" w:firstLineChars="100"/>
        <w:rPr>
          <w:rFonts w:hint="eastAsia" w:asciiTheme="minorEastAsia" w:hAnsiTheme="minorEastAsia" w:eastAsiaTheme="minorEastAsia" w:cstheme="minorEastAsia"/>
          <w:b/>
          <w:bCs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/>
          <w:bCs/>
          <w:i w:val="0"/>
          <w:iCs w:val="0"/>
          <w:caps w:val="0"/>
          <w:color w:val="333333"/>
          <w:spacing w:val="0"/>
          <w:sz w:val="21"/>
          <w:szCs w:val="21"/>
        </w:rPr>
        <w:t>1、</w:t>
      </w:r>
      <w:r>
        <w:rPr>
          <w:rFonts w:hint="eastAsia" w:asciiTheme="minorEastAsia" w:hAnsiTheme="minorEastAsia" w:eastAsiaTheme="minorEastAsia" w:cstheme="minorEastAsia"/>
          <w:b/>
          <w:bCs/>
        </w:rPr>
        <w:t>推荐</w:t>
      </w:r>
      <w:r>
        <w:rPr>
          <w:rFonts w:hint="eastAsia" w:asciiTheme="minorEastAsia" w:hAnsiTheme="minorEastAsia" w:eastAsiaTheme="minorEastAsia" w:cstheme="minorEastAsia"/>
          <w:b/>
          <w:bCs/>
          <w:lang w:val="en-US" w:eastAsia="zh-CN"/>
        </w:rPr>
        <w:t>用量：3-5%</w:t>
      </w:r>
    </w:p>
    <w:p w14:paraId="1A3E8E5B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225"/>
        <w:jc w:val="left"/>
        <w:rPr>
          <w:rFonts w:hint="eastAsia" w:asciiTheme="minorEastAsia" w:hAnsiTheme="minorEastAsia" w:eastAsiaTheme="minorEastAsia" w:cstheme="minorEastAsia"/>
          <w:b/>
          <w:bCs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/>
          <w:bCs/>
          <w:i w:val="0"/>
          <w:iCs w:val="0"/>
          <w:caps w:val="0"/>
          <w:color w:val="333333"/>
          <w:spacing w:val="0"/>
          <w:sz w:val="21"/>
          <w:szCs w:val="21"/>
        </w:rPr>
        <w:t>2、本品为农药增效作用剂，应与农药混用。</w:t>
      </w:r>
    </w:p>
    <w:p w14:paraId="7F9140DE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right="0"/>
        <w:jc w:val="left"/>
        <w:rPr>
          <w:rFonts w:hint="eastAsia" w:asciiTheme="minorEastAsia" w:hAnsiTheme="minorEastAsia" w:eastAsiaTheme="minorEastAsia" w:cstheme="minorEastAsia"/>
          <w:b/>
          <w:bCs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/>
          <w:bCs/>
          <w:i w:val="0"/>
          <w:iCs w:val="0"/>
          <w:caps w:val="0"/>
          <w:color w:val="333333"/>
          <w:spacing w:val="0"/>
          <w:sz w:val="21"/>
          <w:szCs w:val="21"/>
        </w:rPr>
        <w:t>注意事项：</w:t>
      </w:r>
    </w:p>
    <w:p w14:paraId="4C641B01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225"/>
        <w:jc w:val="left"/>
        <w:rPr>
          <w:rFonts w:hint="eastAsia" w:asciiTheme="minorEastAsia" w:hAnsiTheme="minorEastAsia" w:eastAsiaTheme="minorEastAsia" w:cstheme="minorEastAsia"/>
          <w:b/>
          <w:bCs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/>
          <w:bCs/>
          <w:i w:val="0"/>
          <w:iCs w:val="0"/>
          <w:caps w:val="0"/>
          <w:color w:val="333333"/>
          <w:spacing w:val="0"/>
          <w:sz w:val="21"/>
          <w:szCs w:val="21"/>
        </w:rPr>
        <w:t>1、本品应贮存于阴凉干燥及儿童不易接触之处。</w:t>
      </w:r>
    </w:p>
    <w:p w14:paraId="2DFA8852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225"/>
        <w:jc w:val="left"/>
        <w:rPr>
          <w:rFonts w:hint="eastAsia" w:asciiTheme="minorEastAsia" w:hAnsiTheme="minorEastAsia" w:eastAsiaTheme="minorEastAsia" w:cstheme="minorEastAsia"/>
          <w:b/>
          <w:bCs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/>
          <w:bCs/>
          <w:i w:val="0"/>
          <w:iCs w:val="0"/>
          <w:caps w:val="0"/>
          <w:color w:val="333333"/>
          <w:spacing w:val="0"/>
          <w:sz w:val="21"/>
          <w:szCs w:val="21"/>
        </w:rPr>
        <w:t>2、储藏时应远离火源。</w:t>
      </w:r>
    </w:p>
    <w:p w14:paraId="69646849">
      <w:pPr>
        <w:ind w:firstLine="211" w:firstLineChars="100"/>
        <w:rPr>
          <w:rFonts w:hint="eastAsia" w:asciiTheme="minorEastAsia" w:hAnsiTheme="minorEastAsia" w:eastAsiaTheme="minorEastAsia" w:cstheme="minorEastAsia"/>
          <w:b/>
          <w:bCs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i w:val="0"/>
          <w:iCs w:val="0"/>
          <w:caps w:val="0"/>
          <w:color w:val="333333"/>
          <w:spacing w:val="0"/>
          <w:sz w:val="21"/>
          <w:szCs w:val="21"/>
        </w:rPr>
        <w:t>3、本剂会刺激眼睛及皮肤，应避免触及</w:t>
      </w:r>
    </w:p>
    <w:p w14:paraId="6B0B1361">
      <w:pPr>
        <w:pStyle w:val="2"/>
        <w:spacing w:before="124" w:line="194" w:lineRule="auto"/>
        <w:rPr>
          <w:b/>
          <w:bCs/>
          <w:sz w:val="18"/>
          <w:szCs w:val="18"/>
        </w:rPr>
      </w:pPr>
      <w:r>
        <w:rPr>
          <w:b/>
          <w:bCs/>
          <w:spacing w:val="-1"/>
          <w:sz w:val="18"/>
          <w:szCs w:val="18"/>
        </w:rPr>
        <w:t>上述建议添加量为基于</w:t>
      </w:r>
      <w:r>
        <w:rPr>
          <w:rFonts w:hint="eastAsia"/>
          <w:b/>
          <w:bCs/>
          <w:spacing w:val="-1"/>
          <w:sz w:val="18"/>
          <w:szCs w:val="18"/>
          <w:lang w:val="en-US" w:eastAsia="zh-CN"/>
        </w:rPr>
        <w:t>溶液总</w:t>
      </w:r>
      <w:r>
        <w:rPr>
          <w:b/>
          <w:bCs/>
          <w:spacing w:val="-1"/>
          <w:sz w:val="18"/>
          <w:szCs w:val="18"/>
        </w:rPr>
        <w:t>重量的百分比。</w:t>
      </w:r>
      <w:r>
        <w:rPr>
          <w:b/>
          <w:bCs/>
          <w:spacing w:val="-2"/>
          <w:sz w:val="18"/>
          <w:szCs w:val="18"/>
        </w:rPr>
        <w:t>以上添加量仅供参考，最佳添加量需经过一系列实验确定。</w:t>
      </w:r>
    </w:p>
    <w:p w14:paraId="6EBE1000">
      <w:pPr>
        <w:rPr>
          <w:rFonts w:hint="eastAsia"/>
          <w:b/>
          <w:bCs/>
        </w:rPr>
      </w:pPr>
    </w:p>
    <w:p w14:paraId="3A0FAB66">
      <w:pPr>
        <w:rPr>
          <w:b/>
          <w:bCs/>
        </w:rPr>
      </w:pPr>
      <w:r>
        <w:rPr>
          <w:rFonts w:hint="eastAsia"/>
          <w:b/>
          <w:bCs/>
        </w:rPr>
        <w:t>运输与储存</w:t>
      </w:r>
    </w:p>
    <w:p w14:paraId="062F2A98">
      <w:pPr>
        <w:rPr>
          <w:rFonts w:ascii="宋体" w:hAnsi="宋体" w:cs="宋体"/>
          <w:b/>
          <w:bCs/>
          <w:color w:val="272727"/>
          <w:kern w:val="0"/>
          <w:sz w:val="20"/>
          <w:szCs w:val="20"/>
        </w:rPr>
      </w:pPr>
      <w:r>
        <w:rPr>
          <w:rFonts w:hint="eastAsia"/>
          <w:b/>
          <w:bCs/>
        </w:rPr>
        <w:t xml:space="preserve"> </w:t>
      </w:r>
      <w:r>
        <w:rPr>
          <w:b/>
          <w:bCs/>
        </w:rPr>
        <w:t xml:space="preserve"> </w:t>
      </w:r>
      <w:r>
        <w:rPr>
          <w:rFonts w:hint="eastAsia"/>
          <w:b/>
          <w:bCs/>
        </w:rPr>
        <w:t>0</w:t>
      </w:r>
      <w:r>
        <w:rPr>
          <w:rFonts w:ascii="宋体" w:hAnsi="宋体" w:cs="宋体"/>
          <w:b/>
          <w:bCs/>
          <w:color w:val="272727"/>
          <w:kern w:val="0"/>
          <w:sz w:val="20"/>
          <w:szCs w:val="20"/>
        </w:rPr>
        <w:t>℃</w:t>
      </w:r>
      <w:r>
        <w:rPr>
          <w:rFonts w:hint="eastAsia" w:ascii="宋体" w:hAnsi="宋体" w:cs="宋体"/>
          <w:b/>
          <w:bCs/>
          <w:color w:val="272727"/>
          <w:kern w:val="0"/>
          <w:sz w:val="20"/>
          <w:szCs w:val="20"/>
        </w:rPr>
        <w:t>以下贮存或运输时，可能发生分层或浑浊，使用前加热搅拌。</w:t>
      </w:r>
    </w:p>
    <w:p w14:paraId="5A81C815">
      <w:pPr>
        <w:rPr>
          <w:rFonts w:ascii="宋体" w:hAnsi="宋体" w:cs="宋体"/>
          <w:b/>
          <w:bCs/>
          <w:color w:val="272727"/>
          <w:kern w:val="0"/>
          <w:sz w:val="20"/>
          <w:szCs w:val="20"/>
        </w:rPr>
      </w:pPr>
    </w:p>
    <w:p w14:paraId="3FE5B6AE">
      <w:pPr>
        <w:rPr>
          <w:rFonts w:ascii="宋体" w:hAnsi="宋体" w:cs="宋体"/>
          <w:b/>
          <w:bCs/>
          <w:color w:val="272727"/>
          <w:kern w:val="0"/>
          <w:sz w:val="20"/>
          <w:szCs w:val="20"/>
        </w:rPr>
      </w:pPr>
    </w:p>
    <w:p w14:paraId="6A9DFE03">
      <w:pPr>
        <w:rPr>
          <w:rFonts w:ascii="宋体" w:hAnsi="宋体" w:cs="宋体"/>
          <w:b/>
          <w:bCs/>
          <w:color w:val="272727"/>
          <w:kern w:val="0"/>
          <w:sz w:val="20"/>
          <w:szCs w:val="20"/>
        </w:rPr>
      </w:pPr>
      <w:r>
        <w:rPr>
          <w:rFonts w:hint="eastAsia" w:ascii="宋体" w:hAnsi="宋体" w:cs="宋体"/>
          <w:b/>
          <w:bCs/>
          <w:color w:val="272727"/>
          <w:kern w:val="0"/>
          <w:sz w:val="20"/>
          <w:szCs w:val="20"/>
        </w:rPr>
        <w:t>ADD：江苏昆山花桥立德企业园5-1</w:t>
      </w:r>
    </w:p>
    <w:p w14:paraId="4A2699E6">
      <w:pPr>
        <w:rPr>
          <w:b/>
          <w:bCs/>
        </w:rPr>
      </w:pPr>
      <w:r>
        <w:rPr>
          <w:rFonts w:hint="eastAsia"/>
          <w:b/>
          <w:bCs/>
        </w:rPr>
        <w:t>w</w:t>
      </w:r>
      <w:r>
        <w:rPr>
          <w:b/>
          <w:bCs/>
        </w:rPr>
        <w:t>ww.HY-chemical.cn</w:t>
      </w:r>
    </w:p>
    <w:bookmarkEnd w:id="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view w:val="web"/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NjY2NiZTY2MGY4MmQzNzJkODRhYjQzMjQ5YTk5MGIifQ=="/>
  </w:docVars>
  <w:rsids>
    <w:rsidRoot w:val="00E06FFD"/>
    <w:rsid w:val="00002029"/>
    <w:rsid w:val="00002B5C"/>
    <w:rsid w:val="000106D5"/>
    <w:rsid w:val="00097C9C"/>
    <w:rsid w:val="000D168A"/>
    <w:rsid w:val="0013589C"/>
    <w:rsid w:val="00284A99"/>
    <w:rsid w:val="00296421"/>
    <w:rsid w:val="002C07A7"/>
    <w:rsid w:val="002F74CF"/>
    <w:rsid w:val="004718F5"/>
    <w:rsid w:val="004C1034"/>
    <w:rsid w:val="005C5146"/>
    <w:rsid w:val="005F124F"/>
    <w:rsid w:val="005F19DA"/>
    <w:rsid w:val="006337AD"/>
    <w:rsid w:val="0065553B"/>
    <w:rsid w:val="00682DC4"/>
    <w:rsid w:val="00771CD8"/>
    <w:rsid w:val="00894093"/>
    <w:rsid w:val="008C29F5"/>
    <w:rsid w:val="009C46E9"/>
    <w:rsid w:val="00A80657"/>
    <w:rsid w:val="00A87F16"/>
    <w:rsid w:val="00AA0F8D"/>
    <w:rsid w:val="00B65EEE"/>
    <w:rsid w:val="00C31DEE"/>
    <w:rsid w:val="00C63E38"/>
    <w:rsid w:val="00D11DB2"/>
    <w:rsid w:val="00D31544"/>
    <w:rsid w:val="00E06FFD"/>
    <w:rsid w:val="00EE3D0E"/>
    <w:rsid w:val="00F273F5"/>
    <w:rsid w:val="00F77B16"/>
    <w:rsid w:val="00FA4A07"/>
    <w:rsid w:val="086574CF"/>
    <w:rsid w:val="3FF66E3A"/>
    <w:rsid w:val="4C2D2E36"/>
    <w:rsid w:val="54AC14F8"/>
    <w:rsid w:val="54B659BB"/>
    <w:rsid w:val="77286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微软雅黑" w:hAnsi="微软雅黑" w:eastAsia="微软雅黑" w:cs="微软雅黑"/>
      <w:sz w:val="24"/>
      <w:szCs w:val="24"/>
      <w:lang w:val="en-US" w:eastAsia="en-US" w:bidi="ar-SA"/>
    </w:rPr>
  </w:style>
  <w:style w:type="paragraph" w:styleId="3">
    <w:name w:val="footer"/>
    <w:basedOn w:val="1"/>
    <w:link w:val="11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7">
    <w:name w:val="Table Grid"/>
    <w:basedOn w:val="6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character" w:customStyle="1" w:styleId="10">
    <w:name w:val="页眉 字符"/>
    <w:basedOn w:val="8"/>
    <w:link w:val="4"/>
    <w:uiPriority w:val="99"/>
    <w:rPr>
      <w:sz w:val="18"/>
      <w:szCs w:val="18"/>
    </w:rPr>
  </w:style>
  <w:style w:type="character" w:customStyle="1" w:styleId="11">
    <w:name w:val="页脚 字符"/>
    <w:basedOn w:val="8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449</Words>
  <Characters>491</Characters>
  <Lines>3</Lines>
  <Paragraphs>1</Paragraphs>
  <TotalTime>0</TotalTime>
  <ScaleCrop>false</ScaleCrop>
  <LinksUpToDate>false</LinksUpToDate>
  <CharactersWithSpaces>498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2023-03-10T01:29:00Z</dcterms:created>
  <dc:creator>Microsoft 帐户</dc:creator>
  <cp:lastModifiedBy>陈生</cp:lastModifiedBy>
  <dcterms:modified xsi:type="dcterms:W3CDTF">2026-02-17T01:56:49Z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5667475F91EE45A69901474ABFE22E5B_13</vt:lpwstr>
  </property>
  <property fmtid="{D5CDD505-2E9C-101B-9397-08002B2CF9AE}" pid="4" name="KSOTemplateDocerSaveRecord">
    <vt:lpwstr>eyJoZGlkIjoiOTNjY2NiZTY2MGY4MmQzNzJkODRhYjQzMjQ5YTk5MGIiLCJ1c2VySWQiOiIxNjczNDM2MDc5In0=</vt:lpwstr>
  </property>
</Properties>
</file>